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2FC9" w14:textId="126F5A9D" w:rsidR="007C6B36" w:rsidRDefault="007C6B36" w:rsidP="00E772F1">
      <w:pPr>
        <w:pStyle w:val="BodyText"/>
        <w:spacing w:before="8"/>
        <w:jc w:val="center"/>
        <w:rPr>
          <w:rFonts w:ascii="Times New Roman"/>
          <w:noProof/>
          <w:sz w:val="15"/>
        </w:rPr>
      </w:pPr>
      <w:r>
        <w:rPr>
          <w:rFonts w:ascii="Times New Roman"/>
          <w:noProof/>
          <w:sz w:val="15"/>
        </w:rPr>
        <w:drawing>
          <wp:inline distT="0" distB="0" distL="0" distR="0" wp14:anchorId="57C08279" wp14:editId="4CB0FE36">
            <wp:extent cx="3885565" cy="6858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3F32E" w14:textId="2DC503C1" w:rsidR="005B0B74" w:rsidRPr="005B0B74" w:rsidRDefault="005B0B74" w:rsidP="005B0B74"/>
    <w:p w14:paraId="7A2DC6FF" w14:textId="49381434" w:rsidR="005B0B74" w:rsidRPr="005B0B74" w:rsidRDefault="005B0B74" w:rsidP="005B0B74"/>
    <w:p w14:paraId="79223CB3" w14:textId="50E44271" w:rsidR="005B0B74" w:rsidRDefault="009A7B76" w:rsidP="009A7B76">
      <w:pPr>
        <w:tabs>
          <w:tab w:val="left" w:pos="2580"/>
        </w:tabs>
        <w:ind w:left="794"/>
        <w:jc w:val="center"/>
        <w:rPr>
          <w:sz w:val="24"/>
          <w:szCs w:val="24"/>
        </w:rPr>
      </w:pPr>
      <w:r w:rsidRPr="009A7B76">
        <w:rPr>
          <w:b/>
          <w:bCs/>
          <w:sz w:val="28"/>
          <w:szCs w:val="28"/>
        </w:rPr>
        <w:t>VDU, Eye Examination &amp; Glasses Policy</w:t>
      </w:r>
    </w:p>
    <w:p w14:paraId="75B97DDC" w14:textId="77777777" w:rsidR="009A7B76" w:rsidRDefault="009A7B76" w:rsidP="009A7B76">
      <w:pPr>
        <w:tabs>
          <w:tab w:val="left" w:pos="2580"/>
        </w:tabs>
        <w:ind w:left="794"/>
        <w:rPr>
          <w:sz w:val="24"/>
          <w:szCs w:val="24"/>
        </w:rPr>
      </w:pPr>
    </w:p>
    <w:p w14:paraId="0A54A65C" w14:textId="5358CF36" w:rsidR="009A7B76" w:rsidRPr="009A7B76" w:rsidRDefault="009A7B76" w:rsidP="009A7B76">
      <w:pPr>
        <w:tabs>
          <w:tab w:val="left" w:pos="2580"/>
        </w:tabs>
        <w:ind w:left="794"/>
        <w:rPr>
          <w:b/>
          <w:bCs/>
          <w:sz w:val="24"/>
          <w:szCs w:val="24"/>
        </w:rPr>
      </w:pPr>
      <w:r w:rsidRPr="009A7B76">
        <w:rPr>
          <w:b/>
          <w:bCs/>
          <w:sz w:val="24"/>
          <w:szCs w:val="24"/>
        </w:rPr>
        <w:t>1. Introduction</w:t>
      </w:r>
    </w:p>
    <w:p w14:paraId="5ED42342" w14:textId="5CF5B220" w:rsidR="009A7B76" w:rsidRPr="009A7B76" w:rsidRDefault="009A7B76" w:rsidP="009A7B76">
      <w:pPr>
        <w:tabs>
          <w:tab w:val="left" w:pos="2580"/>
        </w:tabs>
        <w:ind w:left="794"/>
        <w:rPr>
          <w:sz w:val="24"/>
          <w:szCs w:val="24"/>
        </w:rPr>
      </w:pPr>
      <w:r w:rsidRPr="009A7B76">
        <w:rPr>
          <w:sz w:val="24"/>
          <w:szCs w:val="24"/>
        </w:rPr>
        <w:t>This policy has been written in accordance with Health and Safety Display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Screen Equipment (DSE) Regulations 1992. The policy and regulations are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reflective of the minimum health and safety requirements for work with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display screen equipment as implemented in the regulations.</w:t>
      </w:r>
    </w:p>
    <w:p w14:paraId="6FB7A36C" w14:textId="21D7AC62" w:rsidR="009A7B76" w:rsidRDefault="009A7B76" w:rsidP="009A7B76">
      <w:pPr>
        <w:tabs>
          <w:tab w:val="left" w:pos="2580"/>
        </w:tabs>
        <w:ind w:left="794"/>
        <w:rPr>
          <w:sz w:val="24"/>
          <w:szCs w:val="24"/>
        </w:rPr>
      </w:pPr>
      <w:r w:rsidRPr="009A7B76">
        <w:rPr>
          <w:sz w:val="24"/>
          <w:szCs w:val="24"/>
        </w:rPr>
        <w:t>In accordance with the health and safety display screen equipment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regulations 1992, (DSEW) display screen equipment users whose general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eyesight defects require a corrective prescription are responsible for this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cost. It is only where the general corrective prescription is not suitable for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use with display screen equipment that the Council is responsible for the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cost of a specific corrective prescription for that purpose.</w:t>
      </w:r>
    </w:p>
    <w:p w14:paraId="2F6E9CEC" w14:textId="77777777" w:rsidR="009A7B76" w:rsidRDefault="009A7B76" w:rsidP="009A7B76">
      <w:pPr>
        <w:tabs>
          <w:tab w:val="left" w:pos="2580"/>
        </w:tabs>
        <w:ind w:left="794"/>
        <w:rPr>
          <w:sz w:val="24"/>
          <w:szCs w:val="24"/>
        </w:rPr>
      </w:pPr>
    </w:p>
    <w:p w14:paraId="29081A10" w14:textId="73055A85" w:rsidR="005B0B74" w:rsidRPr="005B0B74" w:rsidRDefault="005B0B74" w:rsidP="009A7B76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The Health and Safety (Display Screen Equipment) Regulations 1992 allow new or existing users of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display screen equipment (DSE) to request an eye and eyesight test by a qualified Ophthalmic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Optician at the expense of the employer. If this test shows that special glasses (other than those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normally worn by the user) are required for use with DSE, then the employer must provide them.</w:t>
      </w:r>
    </w:p>
    <w:p w14:paraId="4B41C7B1" w14:textId="388FDC56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62C52497" w14:textId="77777777" w:rsidR="009A7B76" w:rsidRPr="009A7B76" w:rsidRDefault="009A7B76" w:rsidP="009A7B76">
      <w:pPr>
        <w:tabs>
          <w:tab w:val="left" w:pos="2580"/>
        </w:tabs>
        <w:ind w:left="794"/>
        <w:rPr>
          <w:b/>
          <w:bCs/>
          <w:sz w:val="24"/>
          <w:szCs w:val="24"/>
        </w:rPr>
      </w:pPr>
      <w:r w:rsidRPr="009A7B76">
        <w:rPr>
          <w:b/>
          <w:bCs/>
          <w:sz w:val="24"/>
          <w:szCs w:val="24"/>
        </w:rPr>
        <w:t>2. Policy Statement</w:t>
      </w:r>
    </w:p>
    <w:p w14:paraId="0204AF9B" w14:textId="17FE0EAB" w:rsidR="009A7B76" w:rsidRDefault="009A7B76" w:rsidP="009A7B76">
      <w:pPr>
        <w:tabs>
          <w:tab w:val="left" w:pos="2580"/>
        </w:tabs>
        <w:ind w:left="794"/>
        <w:rPr>
          <w:sz w:val="24"/>
          <w:szCs w:val="24"/>
        </w:rPr>
      </w:pPr>
      <w:r w:rsidRPr="009A7B76">
        <w:rPr>
          <w:sz w:val="24"/>
          <w:szCs w:val="24"/>
        </w:rPr>
        <w:t>The Council recognises and accepts its responsibility as an employer to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ensure that employees who habitually use display screen equipment on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behalf of the Council should have their sight tested regularly. The DSE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requires employers to provide, an appropriate eyesight test for all staff who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use display screen equipment for a significant part of their job.</w:t>
      </w:r>
    </w:p>
    <w:p w14:paraId="65EACBDA" w14:textId="77777777" w:rsidR="009A7B76" w:rsidRDefault="009A7B76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46DDFBC9" w14:textId="28000492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 xml:space="preserve">To control the cost and manner in which </w:t>
      </w:r>
      <w:r>
        <w:rPr>
          <w:sz w:val="24"/>
          <w:szCs w:val="24"/>
        </w:rPr>
        <w:t>ODA</w:t>
      </w:r>
      <w:r w:rsidRPr="005B0B74">
        <w:rPr>
          <w:sz w:val="24"/>
          <w:szCs w:val="24"/>
        </w:rPr>
        <w:t xml:space="preserve"> Parish Council complies with this </w:t>
      </w:r>
      <w:r w:rsidR="00AD7D93">
        <w:rPr>
          <w:sz w:val="24"/>
          <w:szCs w:val="24"/>
        </w:rPr>
        <w:t xml:space="preserve"> r</w:t>
      </w:r>
      <w:r w:rsidRPr="005B0B74">
        <w:rPr>
          <w:sz w:val="24"/>
          <w:szCs w:val="24"/>
        </w:rPr>
        <w:t>equirement, the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following procedure has been implemented</w:t>
      </w:r>
      <w:r>
        <w:rPr>
          <w:sz w:val="24"/>
          <w:szCs w:val="24"/>
        </w:rPr>
        <w:t>:-</w:t>
      </w:r>
    </w:p>
    <w:p w14:paraId="6645C849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4D113006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• Eligibility</w:t>
      </w:r>
    </w:p>
    <w:p w14:paraId="7FD95AB0" w14:textId="1E217821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 xml:space="preserve">Only regular users of </w:t>
      </w:r>
      <w:proofErr w:type="gramStart"/>
      <w:r w:rsidRPr="005B0B74">
        <w:rPr>
          <w:sz w:val="24"/>
          <w:szCs w:val="24"/>
        </w:rPr>
        <w:t>VDU’s</w:t>
      </w:r>
      <w:proofErr w:type="gramEnd"/>
      <w:r w:rsidRPr="005B0B74">
        <w:rPr>
          <w:sz w:val="24"/>
          <w:szCs w:val="24"/>
        </w:rPr>
        <w:t xml:space="preserve"> as part of their day to day work are entitled to reimbursements of sight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test fees.</w:t>
      </w:r>
    </w:p>
    <w:p w14:paraId="050A5B24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4E5B109A" w14:textId="79571CB0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• Sight Tests Each eligible employee should make their own arrangements for sight tests, pay the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appropriate fee, obtain a receipt then make a claim for reimbursement.</w:t>
      </w:r>
    </w:p>
    <w:p w14:paraId="1DF47703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7E4AE774" w14:textId="4686774B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• Glasses/Contact Lenses - If the Optician clearly states the employee needs glasses or contact lenses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for VDU work then a £60 fee towards the glasses will be payable.</w:t>
      </w:r>
    </w:p>
    <w:p w14:paraId="2F9B63D8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239F7D91" w14:textId="77522903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• Reimbursement of Fees All claims for reimbursement will only be accepted if accompanied by a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valid receipt and claims must be made on the official expense sheet. Only one claim per employee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per annum is payable</w:t>
      </w:r>
    </w:p>
    <w:p w14:paraId="25FC463D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5A40ACCB" w14:textId="4465E7D2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Any queries should be referred to the Clerk prior to making any appointments with the Optician.</w:t>
      </w:r>
    </w:p>
    <w:p w14:paraId="147B3B08" w14:textId="23BC2E5C" w:rsidR="00D25A2E" w:rsidRDefault="00D25A2E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054B3753" w14:textId="31960B99" w:rsidR="00AD7D93" w:rsidRDefault="00AD7D93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6447B902" w14:textId="77777777" w:rsidR="00AD7D93" w:rsidRDefault="00AD7D93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158FCC6D" w14:textId="77777777" w:rsidR="009A7B76" w:rsidRDefault="009A7B76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1B05093F" w14:textId="77777777" w:rsidR="00AD7D93" w:rsidRDefault="00AD7D93" w:rsidP="00D25A2E">
      <w:pPr>
        <w:tabs>
          <w:tab w:val="left" w:pos="2580"/>
        </w:tabs>
        <w:ind w:left="794"/>
        <w:rPr>
          <w:b/>
          <w:bCs/>
          <w:sz w:val="24"/>
          <w:szCs w:val="24"/>
        </w:rPr>
      </w:pPr>
    </w:p>
    <w:p w14:paraId="288D3ABA" w14:textId="77777777" w:rsidR="00AD7D93" w:rsidRDefault="00AD7D93" w:rsidP="00D25A2E">
      <w:pPr>
        <w:tabs>
          <w:tab w:val="left" w:pos="2580"/>
        </w:tabs>
        <w:ind w:left="794"/>
        <w:rPr>
          <w:b/>
          <w:bCs/>
          <w:sz w:val="24"/>
          <w:szCs w:val="24"/>
        </w:rPr>
      </w:pPr>
    </w:p>
    <w:p w14:paraId="0B920B3F" w14:textId="77777777" w:rsidR="00AD7D93" w:rsidRDefault="00AD7D93" w:rsidP="00D25A2E">
      <w:pPr>
        <w:tabs>
          <w:tab w:val="left" w:pos="2580"/>
        </w:tabs>
        <w:ind w:left="794"/>
        <w:rPr>
          <w:b/>
          <w:bCs/>
          <w:sz w:val="24"/>
          <w:szCs w:val="24"/>
        </w:rPr>
      </w:pPr>
    </w:p>
    <w:p w14:paraId="565ECE71" w14:textId="77777777" w:rsidR="00AD7D93" w:rsidRDefault="00AD7D93" w:rsidP="00D25A2E">
      <w:pPr>
        <w:tabs>
          <w:tab w:val="left" w:pos="2580"/>
        </w:tabs>
        <w:ind w:left="794"/>
        <w:rPr>
          <w:b/>
          <w:bCs/>
          <w:sz w:val="24"/>
          <w:szCs w:val="24"/>
        </w:rPr>
      </w:pPr>
    </w:p>
    <w:p w14:paraId="08AEDB77" w14:textId="7CC6169F" w:rsidR="00D25A2E" w:rsidRPr="009A7B76" w:rsidRDefault="00D25A2E" w:rsidP="00D25A2E">
      <w:pPr>
        <w:tabs>
          <w:tab w:val="left" w:pos="2580"/>
        </w:tabs>
        <w:ind w:left="794"/>
        <w:rPr>
          <w:b/>
          <w:bCs/>
          <w:sz w:val="24"/>
          <w:szCs w:val="24"/>
        </w:rPr>
      </w:pPr>
      <w:r w:rsidRPr="009A7B76">
        <w:rPr>
          <w:b/>
          <w:bCs/>
          <w:sz w:val="24"/>
          <w:szCs w:val="24"/>
        </w:rPr>
        <w:t>3. Eyesight Testing</w:t>
      </w:r>
    </w:p>
    <w:p w14:paraId="372620EC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One claim is permitted per year. Employees should make an appointment</w:t>
      </w:r>
    </w:p>
    <w:p w14:paraId="4CC9DC85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with an optician. The cost of the eye test will be reimbursed through the</w:t>
      </w:r>
    </w:p>
    <w:p w14:paraId="771DAB89" w14:textId="2B40676A" w:rsid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expense’s procedure.</w:t>
      </w:r>
    </w:p>
    <w:p w14:paraId="60CC29D1" w14:textId="77777777" w:rsidR="00AD7D93" w:rsidRPr="00D25A2E" w:rsidRDefault="00AD7D93" w:rsidP="00D25A2E">
      <w:pPr>
        <w:tabs>
          <w:tab w:val="left" w:pos="2580"/>
        </w:tabs>
        <w:ind w:left="794"/>
        <w:rPr>
          <w:sz w:val="24"/>
          <w:szCs w:val="24"/>
        </w:rPr>
      </w:pPr>
    </w:p>
    <w:p w14:paraId="484AA313" w14:textId="77777777" w:rsidR="00D25A2E" w:rsidRPr="009A7B76" w:rsidRDefault="00D25A2E" w:rsidP="00D25A2E">
      <w:pPr>
        <w:tabs>
          <w:tab w:val="left" w:pos="2580"/>
        </w:tabs>
        <w:ind w:left="794"/>
        <w:rPr>
          <w:b/>
          <w:bCs/>
          <w:sz w:val="24"/>
          <w:szCs w:val="24"/>
        </w:rPr>
      </w:pPr>
      <w:r w:rsidRPr="009A7B76">
        <w:rPr>
          <w:b/>
          <w:bCs/>
          <w:sz w:val="24"/>
          <w:szCs w:val="24"/>
        </w:rPr>
        <w:t>4. Glasses Prescribed for VDU Use</w:t>
      </w:r>
    </w:p>
    <w:p w14:paraId="725EF6ED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An optician needs to declare that the prescribed glasses are required for</w:t>
      </w:r>
    </w:p>
    <w:p w14:paraId="4033D8EF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DSE use. This evidence will be presented and attached to any expenses</w:t>
      </w:r>
    </w:p>
    <w:p w14:paraId="201625F6" w14:textId="136D2EBD" w:rsid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claim.</w:t>
      </w:r>
    </w:p>
    <w:p w14:paraId="5EA6CD25" w14:textId="77777777" w:rsidR="00AD7D93" w:rsidRPr="00D25A2E" w:rsidRDefault="00AD7D93" w:rsidP="00D25A2E">
      <w:pPr>
        <w:tabs>
          <w:tab w:val="left" w:pos="2580"/>
        </w:tabs>
        <w:ind w:left="794"/>
        <w:rPr>
          <w:sz w:val="24"/>
          <w:szCs w:val="24"/>
        </w:rPr>
      </w:pPr>
    </w:p>
    <w:p w14:paraId="0CBB1FBE" w14:textId="77777777" w:rsidR="00D25A2E" w:rsidRPr="009A7B76" w:rsidRDefault="00D25A2E" w:rsidP="00D25A2E">
      <w:pPr>
        <w:tabs>
          <w:tab w:val="left" w:pos="2580"/>
        </w:tabs>
        <w:ind w:left="794"/>
        <w:rPr>
          <w:b/>
          <w:bCs/>
          <w:sz w:val="24"/>
          <w:szCs w:val="24"/>
        </w:rPr>
      </w:pPr>
      <w:r w:rsidRPr="009A7B76">
        <w:rPr>
          <w:b/>
          <w:bCs/>
          <w:sz w:val="24"/>
          <w:szCs w:val="24"/>
        </w:rPr>
        <w:t>5. Financial limits</w:t>
      </w:r>
    </w:p>
    <w:p w14:paraId="01BD798B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The Council will reimburse expenses for eye tests and glasses as follows:</w:t>
      </w:r>
    </w:p>
    <w:p w14:paraId="5CEC81D7" w14:textId="0BB5061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 xml:space="preserve">• </w:t>
      </w:r>
      <w:r w:rsidR="009A7B76" w:rsidRPr="00D25A2E">
        <w:rPr>
          <w:sz w:val="24"/>
          <w:szCs w:val="24"/>
        </w:rPr>
        <w:t>Eyesight</w:t>
      </w:r>
      <w:r w:rsidRPr="00D25A2E">
        <w:rPr>
          <w:sz w:val="24"/>
          <w:szCs w:val="24"/>
        </w:rPr>
        <w:t xml:space="preserve"> Examination – Full cost</w:t>
      </w:r>
    </w:p>
    <w:p w14:paraId="783E05B9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• Glasses for VDU use only – total cost to a maximum of £60.00</w:t>
      </w:r>
    </w:p>
    <w:p w14:paraId="7E6E7B45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• Glasses for normal use and VDU use – 50% of total cost of glasses</w:t>
      </w:r>
    </w:p>
    <w:p w14:paraId="6F7C0A03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to a maximum of £30.00</w:t>
      </w:r>
    </w:p>
    <w:p w14:paraId="17A453D9" w14:textId="0499105A" w:rsidR="00D25A2E" w:rsidRPr="005B0B74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Any cost in excess of this must be borne by the employee.</w:t>
      </w:r>
    </w:p>
    <w:sectPr w:rsidR="00D25A2E" w:rsidRPr="005B0B74" w:rsidSect="00AD7D93">
      <w:headerReference w:type="default" r:id="rId9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454F" w14:textId="77777777" w:rsidR="00D0572B" w:rsidRDefault="00D0572B" w:rsidP="00AD7D93">
      <w:r>
        <w:separator/>
      </w:r>
    </w:p>
  </w:endnote>
  <w:endnote w:type="continuationSeparator" w:id="0">
    <w:p w14:paraId="5903756F" w14:textId="77777777" w:rsidR="00D0572B" w:rsidRDefault="00D0572B" w:rsidP="00A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0059" w14:textId="77777777" w:rsidR="00D0572B" w:rsidRDefault="00D0572B" w:rsidP="00AD7D93">
      <w:r>
        <w:separator/>
      </w:r>
    </w:p>
  </w:footnote>
  <w:footnote w:type="continuationSeparator" w:id="0">
    <w:p w14:paraId="7C0CB571" w14:textId="77777777" w:rsidR="00D0572B" w:rsidRDefault="00D0572B" w:rsidP="00AD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444D" w14:textId="2B7629B4" w:rsidR="00AD7D93" w:rsidRDefault="00AD7D93" w:rsidP="00AD7D93">
    <w:pPr>
      <w:pStyle w:val="Header"/>
      <w:jc w:val="center"/>
    </w:pPr>
    <w:r>
      <w:rPr>
        <w:noProof/>
      </w:rPr>
      <w:drawing>
        <wp:inline distT="0" distB="0" distL="0" distR="0" wp14:anchorId="6CF71F5A" wp14:editId="05AB8707">
          <wp:extent cx="2000250" cy="35485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698" cy="36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4E3FD7"/>
    <w:rsid w:val="005B0B74"/>
    <w:rsid w:val="0078081B"/>
    <w:rsid w:val="007C6B36"/>
    <w:rsid w:val="00901B69"/>
    <w:rsid w:val="0098706A"/>
    <w:rsid w:val="009A7B76"/>
    <w:rsid w:val="00A31958"/>
    <w:rsid w:val="00AD7D93"/>
    <w:rsid w:val="00B8371F"/>
    <w:rsid w:val="00C123F1"/>
    <w:rsid w:val="00D0572B"/>
    <w:rsid w:val="00D2021E"/>
    <w:rsid w:val="00D25A2E"/>
    <w:rsid w:val="00D60A73"/>
    <w:rsid w:val="00E20BEE"/>
    <w:rsid w:val="00E772F1"/>
    <w:rsid w:val="00E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1B638"/>
  <w15:docId w15:val="{F6AEE316-482E-416A-9371-6F00AB5B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7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D9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D7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D93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A023-DF8F-4A99-919C-2432046C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2686</Characters>
  <Application>Microsoft Office Word</Application>
  <DocSecurity>0</DocSecurity>
  <Lines>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Lindsay</dc:creator>
  <cp:keywords/>
  <dc:description/>
  <cp:lastModifiedBy>Kelly Grove</cp:lastModifiedBy>
  <cp:revision>2</cp:revision>
  <cp:lastPrinted>2021-07-06T07:54:00Z</cp:lastPrinted>
  <dcterms:created xsi:type="dcterms:W3CDTF">2021-07-06T12:51:00Z</dcterms:created>
  <dcterms:modified xsi:type="dcterms:W3CDTF">2021-07-06T12:51:00Z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