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4A07" w14:textId="77255D24" w:rsidR="00D2021E" w:rsidRDefault="00816A77" w:rsidP="00816A77">
      <w:pPr>
        <w:pStyle w:val="BodyText"/>
        <w:ind w:left="794"/>
        <w:jc w:val="both"/>
        <w:rPr>
          <w:rFonts w:ascii="Times New Roman"/>
          <w:sz w:val="28"/>
          <w:szCs w:val="28"/>
        </w:rPr>
      </w:pPr>
      <w:bookmarkStart w:id="0" w:name="_Hlk44937655"/>
      <w:r>
        <w:rPr>
          <w:rFonts w:ascii="Times New Roman"/>
          <w:noProof/>
          <w:sz w:val="28"/>
          <w:szCs w:val="28"/>
        </w:rPr>
        <w:t xml:space="preserve">                                                       </w:t>
      </w:r>
      <w:r>
        <w:rPr>
          <w:rFonts w:ascii="Times New Roman"/>
          <w:noProof/>
          <w:sz w:val="28"/>
          <w:szCs w:val="28"/>
        </w:rPr>
        <w:drawing>
          <wp:inline distT="0" distB="0" distL="0" distR="0" wp14:anchorId="71B40302" wp14:editId="57027FB8">
            <wp:extent cx="93916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D2AFE" w14:textId="6A9806F6" w:rsidR="008A3D42" w:rsidRPr="00F41D17" w:rsidRDefault="008A3D42" w:rsidP="004F3760">
      <w:pPr>
        <w:pStyle w:val="BodyText"/>
        <w:spacing w:before="100" w:beforeAutospacing="1" w:after="100" w:afterAutospacing="1"/>
        <w:ind w:left="794" w:right="794"/>
        <w:jc w:val="center"/>
        <w:rPr>
          <w:b/>
          <w:bCs/>
          <w:sz w:val="28"/>
          <w:szCs w:val="28"/>
        </w:rPr>
      </w:pPr>
      <w:r w:rsidRPr="00F41D17">
        <w:rPr>
          <w:b/>
          <w:bCs/>
          <w:sz w:val="28"/>
          <w:szCs w:val="28"/>
        </w:rPr>
        <w:t xml:space="preserve">Document Retention </w:t>
      </w:r>
      <w:r w:rsidR="001068C6" w:rsidRPr="00F41D17">
        <w:rPr>
          <w:b/>
          <w:bCs/>
          <w:sz w:val="28"/>
          <w:szCs w:val="28"/>
        </w:rPr>
        <w:t xml:space="preserve">&amp; Disposal </w:t>
      </w:r>
      <w:r w:rsidRPr="00F41D17">
        <w:rPr>
          <w:b/>
          <w:bCs/>
          <w:sz w:val="28"/>
          <w:szCs w:val="28"/>
        </w:rPr>
        <w:t>Policy</w:t>
      </w:r>
    </w:p>
    <w:p w14:paraId="3895FBCB" w14:textId="603F4BB9" w:rsidR="001068C6" w:rsidRDefault="001068C6" w:rsidP="001068C6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>
        <w:rPr>
          <w:sz w:val="28"/>
          <w:szCs w:val="28"/>
        </w:rPr>
        <w:t>ODA</w:t>
      </w:r>
      <w:r w:rsidRPr="001068C6">
        <w:rPr>
          <w:sz w:val="28"/>
          <w:szCs w:val="28"/>
        </w:rPr>
        <w:t xml:space="preserve"> Parish Council has adopted a Document Retention and Disposals Policy to provide information about its process of retaining and disposing of records and documents that it keeps physically or electronically.</w:t>
      </w:r>
    </w:p>
    <w:p w14:paraId="449C23B6" w14:textId="73D46650" w:rsidR="00F41D17" w:rsidRP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The Parish Council recognises that the efficient management of its records is necessary to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comply with its legal and regulatory obligations and to contribute to the effective overall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management of the Parish Council.</w:t>
      </w:r>
    </w:p>
    <w:p w14:paraId="2D9C9463" w14:textId="00BA44D6" w:rsidR="00F41D17" w:rsidRP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This document provides the policy framework through which this effective management can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be achieved and audited. It covers:</w:t>
      </w:r>
    </w:p>
    <w:p w14:paraId="6AF55BD3" w14:textId="77777777" w:rsidR="00F41D17" w:rsidRPr="00F41D17" w:rsidRDefault="00F41D17" w:rsidP="00F41D17">
      <w:pPr>
        <w:pStyle w:val="BodyText"/>
        <w:numPr>
          <w:ilvl w:val="0"/>
          <w:numId w:val="5"/>
        </w:numPr>
        <w:spacing w:before="100" w:beforeAutospacing="1" w:after="100" w:afterAutospacing="1"/>
        <w:ind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Scope</w:t>
      </w:r>
    </w:p>
    <w:p w14:paraId="61D0A0E4" w14:textId="77777777" w:rsidR="00F41D17" w:rsidRPr="00F41D17" w:rsidRDefault="00F41D17" w:rsidP="00F41D17">
      <w:pPr>
        <w:pStyle w:val="BodyText"/>
        <w:numPr>
          <w:ilvl w:val="0"/>
          <w:numId w:val="5"/>
        </w:numPr>
        <w:spacing w:before="100" w:beforeAutospacing="1" w:after="100" w:afterAutospacing="1"/>
        <w:ind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Responsibilities</w:t>
      </w:r>
    </w:p>
    <w:p w14:paraId="1BB932C2" w14:textId="04EF6CDC" w:rsidR="00F41D17" w:rsidRDefault="00F41D17" w:rsidP="00F41D17">
      <w:pPr>
        <w:pStyle w:val="BodyText"/>
        <w:numPr>
          <w:ilvl w:val="0"/>
          <w:numId w:val="5"/>
        </w:numPr>
        <w:spacing w:before="100" w:beforeAutospacing="1" w:after="100" w:afterAutospacing="1"/>
        <w:ind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Retention Schedule</w:t>
      </w:r>
    </w:p>
    <w:p w14:paraId="2ADCED7B" w14:textId="77777777" w:rsidR="00F41D17" w:rsidRP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b/>
          <w:bCs/>
          <w:sz w:val="28"/>
          <w:szCs w:val="28"/>
        </w:rPr>
      </w:pPr>
      <w:r w:rsidRPr="00F41D17">
        <w:rPr>
          <w:b/>
          <w:bCs/>
          <w:sz w:val="28"/>
          <w:szCs w:val="28"/>
        </w:rPr>
        <w:t>Scope of the policy</w:t>
      </w:r>
    </w:p>
    <w:p w14:paraId="02C6A9FD" w14:textId="5C75C5CA" w:rsidR="00F41D17" w:rsidRP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This policy applies to all records created, received or maintained by the Parish Council in the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course of carrying out its functions. Records are defined as all those documents which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facilitate the business carried out by the Parish Council and which are thereafter retained (for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a set period) to provide evidence of its transactions or activities. These records may be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created, received or maintained in hard copy or electronically.</w:t>
      </w:r>
    </w:p>
    <w:p w14:paraId="6D16E975" w14:textId="17A6C3EF" w:rsid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A small percentage of the Parish Council’s records will be selected for permanent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preservation as part of the Council’s archives and for historical research.</w:t>
      </w:r>
    </w:p>
    <w:p w14:paraId="230712B2" w14:textId="77777777" w:rsidR="00F41D17" w:rsidRP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b/>
          <w:bCs/>
          <w:sz w:val="28"/>
          <w:szCs w:val="28"/>
        </w:rPr>
      </w:pPr>
      <w:r w:rsidRPr="00F41D17">
        <w:rPr>
          <w:b/>
          <w:bCs/>
          <w:sz w:val="28"/>
          <w:szCs w:val="28"/>
        </w:rPr>
        <w:t>Responsibilities</w:t>
      </w:r>
    </w:p>
    <w:p w14:paraId="6FD9C57D" w14:textId="502249E8" w:rsidR="00F41D17" w:rsidRP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The Parish Council has a corporate responsibility to maintain its records and record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management systems in accordance with the regulatory environment. The person with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overall responsibility for the implementation of this policy is the Clerk to the Parish Council,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and she is required to manage the Council’s records in such a way as to promote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compliance with this policy so that information will be retrieved easily, appropriately and in a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timely manner.</w:t>
      </w:r>
    </w:p>
    <w:p w14:paraId="106B20E1" w14:textId="77777777" w:rsid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</w:p>
    <w:p w14:paraId="31084ECD" w14:textId="77777777" w:rsidR="00816A77" w:rsidRDefault="00816A77" w:rsidP="00F41D17">
      <w:pPr>
        <w:pStyle w:val="BodyText"/>
        <w:spacing w:before="100" w:beforeAutospacing="1" w:after="100" w:afterAutospacing="1"/>
        <w:ind w:left="794" w:right="794"/>
        <w:jc w:val="both"/>
        <w:rPr>
          <w:b/>
          <w:bCs/>
          <w:sz w:val="28"/>
          <w:szCs w:val="28"/>
        </w:rPr>
      </w:pPr>
    </w:p>
    <w:p w14:paraId="107A35EA" w14:textId="6F733013" w:rsidR="00F41D17" w:rsidRP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b/>
          <w:bCs/>
          <w:sz w:val="28"/>
          <w:szCs w:val="28"/>
        </w:rPr>
      </w:pPr>
      <w:r w:rsidRPr="00F41D17">
        <w:rPr>
          <w:b/>
          <w:bCs/>
          <w:sz w:val="28"/>
          <w:szCs w:val="28"/>
        </w:rPr>
        <w:t>Retention Schedule</w:t>
      </w:r>
    </w:p>
    <w:p w14:paraId="0AC11D12" w14:textId="4389CE60" w:rsidR="00F41D17" w:rsidRP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Under the Freedom of Information Act 2000, the Parish Council is required to maintain a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retention schedule listing the record series which it creates in the course of its business. The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retention schedule lays down the length of time which the record needs to be retained and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the action which should be taken when it is of no further administrative use.</w:t>
      </w:r>
    </w:p>
    <w:p w14:paraId="4B3A6E6C" w14:textId="3A6A0194" w:rsidR="00F41D17" w:rsidRPr="00F41D17" w:rsidRDefault="00F41D17" w:rsidP="00F41D17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F41D17">
        <w:rPr>
          <w:sz w:val="28"/>
          <w:szCs w:val="28"/>
        </w:rPr>
        <w:t>The Clerk is expected to manage the current record keeping systems using the retention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schedule and to take account of the different retention periods when creating new record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keeping systems. This retention schedule refers to record series regardless of the media in</w:t>
      </w:r>
      <w:r>
        <w:rPr>
          <w:sz w:val="28"/>
          <w:szCs w:val="28"/>
        </w:rPr>
        <w:t xml:space="preserve"> </w:t>
      </w:r>
      <w:r w:rsidRPr="00F41D17">
        <w:rPr>
          <w:sz w:val="28"/>
          <w:szCs w:val="28"/>
        </w:rPr>
        <w:t>which they are stored.</w:t>
      </w:r>
    </w:p>
    <w:p w14:paraId="5A9A819D" w14:textId="28F66A80" w:rsidR="001068C6" w:rsidRDefault="001068C6" w:rsidP="00100BA9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1068C6">
        <w:rPr>
          <w:sz w:val="28"/>
          <w:szCs w:val="28"/>
        </w:rPr>
        <w:t xml:space="preserve">The table below indicates the record type, minimum retention period and reasons for retention. The Parish Council is aware that some of its records have historical </w:t>
      </w:r>
      <w:r w:rsidR="005201F5" w:rsidRPr="001068C6">
        <w:rPr>
          <w:sz w:val="28"/>
          <w:szCs w:val="28"/>
        </w:rPr>
        <w:t>value,</w:t>
      </w:r>
      <w:r w:rsidRPr="001068C6">
        <w:rPr>
          <w:sz w:val="28"/>
          <w:szCs w:val="28"/>
        </w:rPr>
        <w:t xml:space="preserve"> and it seeks to keep these documents indefinitely or, where this might not be possible or advisable, to offer these documents to the </w:t>
      </w:r>
      <w:r w:rsidR="009620CD">
        <w:rPr>
          <w:sz w:val="28"/>
          <w:szCs w:val="28"/>
        </w:rPr>
        <w:t>Leicestershire</w:t>
      </w:r>
      <w:r w:rsidRPr="001068C6">
        <w:rPr>
          <w:sz w:val="28"/>
          <w:szCs w:val="28"/>
        </w:rPr>
        <w:t xml:space="preserve"> Record</w:t>
      </w:r>
      <w:r w:rsidR="00100BA9">
        <w:rPr>
          <w:sz w:val="28"/>
          <w:szCs w:val="28"/>
        </w:rPr>
        <w:t>s</w:t>
      </w:r>
      <w:r w:rsidRPr="001068C6">
        <w:rPr>
          <w:sz w:val="28"/>
          <w:szCs w:val="28"/>
        </w:rPr>
        <w:t xml:space="preserve"> Office or </w:t>
      </w:r>
      <w:r w:rsidR="00100BA9" w:rsidRPr="00100BA9">
        <w:rPr>
          <w:sz w:val="28"/>
          <w:szCs w:val="28"/>
        </w:rPr>
        <w:t>returning originals to the originators, or,</w:t>
      </w:r>
      <w:r w:rsidR="00100BA9">
        <w:rPr>
          <w:sz w:val="28"/>
          <w:szCs w:val="28"/>
        </w:rPr>
        <w:t xml:space="preserve"> </w:t>
      </w:r>
      <w:r w:rsidR="00100BA9" w:rsidRPr="00100BA9">
        <w:rPr>
          <w:sz w:val="28"/>
          <w:szCs w:val="28"/>
        </w:rPr>
        <w:t>acknowledging that the originals remain accessible and in the possession of the originator (</w:t>
      </w:r>
      <w:r w:rsidR="005201F5" w:rsidRPr="00100BA9">
        <w:rPr>
          <w:sz w:val="28"/>
          <w:szCs w:val="28"/>
        </w:rPr>
        <w:t>e.g.,</w:t>
      </w:r>
      <w:r w:rsidR="00100BA9" w:rsidRPr="00100BA9">
        <w:rPr>
          <w:sz w:val="28"/>
          <w:szCs w:val="28"/>
        </w:rPr>
        <w:t xml:space="preserve"> on their website), </w:t>
      </w:r>
      <w:r w:rsidR="005201F5" w:rsidRPr="00100BA9">
        <w:rPr>
          <w:sz w:val="28"/>
          <w:szCs w:val="28"/>
        </w:rPr>
        <w:t>or</w:t>
      </w:r>
      <w:r w:rsidR="00100BA9">
        <w:rPr>
          <w:sz w:val="28"/>
          <w:szCs w:val="28"/>
        </w:rPr>
        <w:t xml:space="preserve"> </w:t>
      </w:r>
      <w:r w:rsidR="00100BA9" w:rsidRPr="00100BA9">
        <w:rPr>
          <w:sz w:val="28"/>
          <w:szCs w:val="28"/>
        </w:rPr>
        <w:t>destruction/deletion of the documents.</w:t>
      </w:r>
    </w:p>
    <w:p w14:paraId="083AFB8B" w14:textId="1DE3D6D3" w:rsidR="001068C6" w:rsidRPr="001068C6" w:rsidRDefault="001068C6" w:rsidP="001068C6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1068C6">
        <w:rPr>
          <w:sz w:val="28"/>
          <w:szCs w:val="28"/>
        </w:rPr>
        <w:t>The Parish Clerk will obtain the formal approval of the Parish Council before records of a sensitive or confidential nature are deleted or destroyed.</w:t>
      </w:r>
    </w:p>
    <w:p w14:paraId="354AB42D" w14:textId="78D91720" w:rsidR="001068C6" w:rsidRDefault="001068C6" w:rsidP="001068C6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  <w:r w:rsidRPr="001068C6">
        <w:rPr>
          <w:sz w:val="28"/>
          <w:szCs w:val="28"/>
        </w:rPr>
        <w:t>All physical documents that are sensitive, confidential or refer to individuals, and are no longer required for administrative reasons, will be shredded or otherwise destroyed before disposal.</w:t>
      </w:r>
    </w:p>
    <w:tbl>
      <w:tblPr>
        <w:tblStyle w:val="TableGrid"/>
        <w:tblW w:w="0" w:type="auto"/>
        <w:tblInd w:w="794" w:type="dxa"/>
        <w:tblLook w:val="04A0" w:firstRow="1" w:lastRow="0" w:firstColumn="1" w:lastColumn="0" w:noHBand="0" w:noVBand="1"/>
      </w:tblPr>
      <w:tblGrid>
        <w:gridCol w:w="3029"/>
        <w:gridCol w:w="3969"/>
        <w:gridCol w:w="2768"/>
      </w:tblGrid>
      <w:tr w:rsidR="00941F2B" w14:paraId="779B10FC" w14:textId="77777777" w:rsidTr="005201F5">
        <w:tc>
          <w:tcPr>
            <w:tcW w:w="3029" w:type="dxa"/>
          </w:tcPr>
          <w:p w14:paraId="6DC5DD01" w14:textId="655FE4E9" w:rsidR="001068C6" w:rsidRPr="00F41D17" w:rsidRDefault="004E0635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b/>
                <w:bCs/>
                <w:sz w:val="24"/>
                <w:szCs w:val="24"/>
              </w:rPr>
            </w:pPr>
            <w:bookmarkStart w:id="1" w:name="_Hlk79578947"/>
            <w:r w:rsidRPr="00F41D17">
              <w:rPr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3969" w:type="dxa"/>
          </w:tcPr>
          <w:p w14:paraId="5ABC6CA4" w14:textId="7C1853CB" w:rsidR="001068C6" w:rsidRPr="00F41D17" w:rsidRDefault="004E0635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b/>
                <w:bCs/>
                <w:sz w:val="24"/>
                <w:szCs w:val="24"/>
              </w:rPr>
            </w:pPr>
            <w:r w:rsidRPr="00F41D17">
              <w:rPr>
                <w:b/>
                <w:bCs/>
                <w:sz w:val="24"/>
                <w:szCs w:val="24"/>
              </w:rPr>
              <w:t>Minimum retention period</w:t>
            </w:r>
          </w:p>
        </w:tc>
        <w:tc>
          <w:tcPr>
            <w:tcW w:w="2768" w:type="dxa"/>
          </w:tcPr>
          <w:p w14:paraId="09A0C465" w14:textId="3827C7C8" w:rsidR="00F41D17" w:rsidRPr="00F41D17" w:rsidRDefault="004E0635" w:rsidP="00F41D17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b/>
                <w:bCs/>
                <w:sz w:val="24"/>
                <w:szCs w:val="24"/>
              </w:rPr>
            </w:pPr>
            <w:r w:rsidRPr="00F41D17">
              <w:rPr>
                <w:b/>
                <w:bCs/>
                <w:sz w:val="24"/>
                <w:szCs w:val="24"/>
              </w:rPr>
              <w:t>Reason</w:t>
            </w:r>
          </w:p>
        </w:tc>
      </w:tr>
      <w:bookmarkEnd w:id="1"/>
      <w:tr w:rsidR="00941F2B" w14:paraId="5351E146" w14:textId="77777777" w:rsidTr="005201F5">
        <w:tc>
          <w:tcPr>
            <w:tcW w:w="3029" w:type="dxa"/>
          </w:tcPr>
          <w:p w14:paraId="12E77987" w14:textId="2F5FBBE6" w:rsidR="001068C6" w:rsidRPr="00941F2B" w:rsidRDefault="00941F2B" w:rsidP="00941F2B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 w:rsidRPr="00941F2B">
              <w:rPr>
                <w:sz w:val="24"/>
                <w:szCs w:val="24"/>
              </w:rPr>
              <w:t>Declaration of Acceptance</w:t>
            </w:r>
          </w:p>
        </w:tc>
        <w:tc>
          <w:tcPr>
            <w:tcW w:w="3969" w:type="dxa"/>
          </w:tcPr>
          <w:p w14:paraId="552DEBC3" w14:textId="52229E47" w:rsidR="001068C6" w:rsidRPr="00941F2B" w:rsidRDefault="00941F2B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Member’s term of Office</w:t>
            </w:r>
          </w:p>
        </w:tc>
        <w:tc>
          <w:tcPr>
            <w:tcW w:w="2768" w:type="dxa"/>
          </w:tcPr>
          <w:p w14:paraId="0F06A24F" w14:textId="77777777" w:rsidR="001068C6" w:rsidRDefault="00941F2B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Management</w:t>
            </w:r>
          </w:p>
          <w:p w14:paraId="5DBA68C3" w14:textId="57526557" w:rsidR="00561F8C" w:rsidRPr="00941F2B" w:rsidRDefault="00561F8C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sz w:val="24"/>
                <w:szCs w:val="24"/>
              </w:rPr>
            </w:pPr>
          </w:p>
        </w:tc>
      </w:tr>
      <w:tr w:rsidR="00941F2B" w14:paraId="592DE139" w14:textId="77777777" w:rsidTr="005201F5">
        <w:tc>
          <w:tcPr>
            <w:tcW w:w="3029" w:type="dxa"/>
          </w:tcPr>
          <w:p w14:paraId="073C0B82" w14:textId="65AA748D" w:rsidR="001068C6" w:rsidRPr="00941F2B" w:rsidRDefault="00941F2B" w:rsidP="00941F2B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Register of Interest</w:t>
            </w:r>
          </w:p>
        </w:tc>
        <w:tc>
          <w:tcPr>
            <w:tcW w:w="3969" w:type="dxa"/>
          </w:tcPr>
          <w:p w14:paraId="25921BDF" w14:textId="6A8EC650" w:rsidR="001068C6" w:rsidRPr="00941F2B" w:rsidRDefault="00941F2B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sz w:val="24"/>
                <w:szCs w:val="24"/>
              </w:rPr>
            </w:pPr>
            <w:r w:rsidRPr="00941F2B">
              <w:rPr>
                <w:sz w:val="24"/>
                <w:szCs w:val="24"/>
              </w:rPr>
              <w:t>Member’s term of Office</w:t>
            </w:r>
          </w:p>
        </w:tc>
        <w:tc>
          <w:tcPr>
            <w:tcW w:w="2768" w:type="dxa"/>
          </w:tcPr>
          <w:p w14:paraId="2987CA28" w14:textId="77777777" w:rsidR="001068C6" w:rsidRDefault="00561F8C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sz w:val="24"/>
                <w:szCs w:val="24"/>
              </w:rPr>
            </w:pPr>
            <w:r w:rsidRPr="00561F8C">
              <w:rPr>
                <w:sz w:val="24"/>
                <w:szCs w:val="24"/>
              </w:rPr>
              <w:t>Legal Management</w:t>
            </w:r>
          </w:p>
          <w:p w14:paraId="714402D7" w14:textId="0C8D732A" w:rsidR="00561F8C" w:rsidRPr="00941F2B" w:rsidRDefault="00561F8C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sz w:val="24"/>
                <w:szCs w:val="24"/>
              </w:rPr>
            </w:pPr>
          </w:p>
        </w:tc>
      </w:tr>
      <w:tr w:rsidR="00941F2B" w14:paraId="60C16A44" w14:textId="77777777" w:rsidTr="005201F5">
        <w:tc>
          <w:tcPr>
            <w:tcW w:w="3029" w:type="dxa"/>
          </w:tcPr>
          <w:p w14:paraId="50262FEE" w14:textId="552E5EB2" w:rsidR="001068C6" w:rsidRPr="00941F2B" w:rsidRDefault="00941F2B" w:rsidP="00941F2B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 Book/Record</w:t>
            </w:r>
          </w:p>
        </w:tc>
        <w:tc>
          <w:tcPr>
            <w:tcW w:w="3969" w:type="dxa"/>
          </w:tcPr>
          <w:p w14:paraId="6409B0B3" w14:textId="75A330FF" w:rsidR="001068C6" w:rsidRPr="00941F2B" w:rsidRDefault="00941F2B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</w:t>
            </w:r>
          </w:p>
        </w:tc>
        <w:tc>
          <w:tcPr>
            <w:tcW w:w="2768" w:type="dxa"/>
          </w:tcPr>
          <w:p w14:paraId="4BE90108" w14:textId="77777777" w:rsidR="001068C6" w:rsidRDefault="00941F2B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</w:t>
            </w:r>
          </w:p>
          <w:p w14:paraId="62CCAACD" w14:textId="59632756" w:rsidR="00561F8C" w:rsidRPr="00941F2B" w:rsidRDefault="00561F8C" w:rsidP="001068C6">
            <w:pPr>
              <w:pStyle w:val="BodyText"/>
              <w:spacing w:before="100" w:beforeAutospacing="1" w:after="100" w:afterAutospacing="1"/>
              <w:ind w:right="794"/>
              <w:jc w:val="both"/>
              <w:rPr>
                <w:sz w:val="24"/>
                <w:szCs w:val="24"/>
              </w:rPr>
            </w:pPr>
          </w:p>
        </w:tc>
      </w:tr>
      <w:tr w:rsidR="00561F8C" w14:paraId="7E908177" w14:textId="77777777" w:rsidTr="00561F8C">
        <w:trPr>
          <w:trHeight w:val="486"/>
        </w:trPr>
        <w:tc>
          <w:tcPr>
            <w:tcW w:w="3029" w:type="dxa"/>
          </w:tcPr>
          <w:p w14:paraId="74DA4B55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b/>
                <w:bCs/>
              </w:rPr>
            </w:pPr>
            <w:r w:rsidRPr="00F41D17">
              <w:rPr>
                <w:b/>
                <w:bCs/>
              </w:rPr>
              <w:lastRenderedPageBreak/>
              <w:t>Document</w:t>
            </w:r>
          </w:p>
          <w:p w14:paraId="733260B7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EB5444A" w14:textId="7588FC01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 w:rsidRPr="00F41D17">
              <w:rPr>
                <w:b/>
                <w:bCs/>
              </w:rPr>
              <w:t>Minimum retention period</w:t>
            </w:r>
          </w:p>
        </w:tc>
        <w:tc>
          <w:tcPr>
            <w:tcW w:w="2768" w:type="dxa"/>
          </w:tcPr>
          <w:p w14:paraId="3B09B5CE" w14:textId="2338A395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 w:rsidRPr="00F41D17">
              <w:rPr>
                <w:b/>
                <w:bCs/>
              </w:rPr>
              <w:t>Reason</w:t>
            </w:r>
          </w:p>
        </w:tc>
      </w:tr>
      <w:tr w:rsidR="00941F2B" w14:paraId="2F3292DE" w14:textId="77777777" w:rsidTr="005201F5">
        <w:tc>
          <w:tcPr>
            <w:tcW w:w="3029" w:type="dxa"/>
          </w:tcPr>
          <w:p w14:paraId="77168CD7" w14:textId="3239EB2D" w:rsidR="001068C6" w:rsidRPr="00941F2B" w:rsidRDefault="00941F2B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 &amp; related papers</w:t>
            </w:r>
          </w:p>
        </w:tc>
        <w:tc>
          <w:tcPr>
            <w:tcW w:w="3969" w:type="dxa"/>
          </w:tcPr>
          <w:p w14:paraId="6022AA4F" w14:textId="77777777" w:rsidR="005201F5" w:rsidRDefault="00941F2B" w:rsidP="005201F5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retained by council and relevant decisions are available on </w:t>
            </w:r>
            <w:r w:rsidR="005201F5">
              <w:rPr>
                <w:sz w:val="24"/>
                <w:szCs w:val="24"/>
              </w:rPr>
              <w:t>Northwest</w:t>
            </w:r>
            <w:r>
              <w:rPr>
                <w:sz w:val="24"/>
                <w:szCs w:val="24"/>
              </w:rPr>
              <w:t xml:space="preserve"> Leicestershire </w:t>
            </w:r>
            <w:r w:rsidR="009620CD">
              <w:rPr>
                <w:sz w:val="24"/>
                <w:szCs w:val="24"/>
              </w:rPr>
              <w:t xml:space="preserve">County Council </w:t>
            </w:r>
            <w:r>
              <w:rPr>
                <w:sz w:val="24"/>
                <w:szCs w:val="24"/>
              </w:rPr>
              <w:t>Website. All Parish Council decisions in relation to application are re</w:t>
            </w:r>
            <w:r w:rsidR="005201F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orded in the minutes</w:t>
            </w:r>
          </w:p>
          <w:p w14:paraId="372601A7" w14:textId="10607985" w:rsidR="005201F5" w:rsidRPr="00941F2B" w:rsidRDefault="005201F5" w:rsidP="005201F5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14:paraId="481A2CB9" w14:textId="7C59F451" w:rsidR="001068C6" w:rsidRPr="00941F2B" w:rsidRDefault="005201F5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5201F5" w:rsidRPr="00941F2B" w14:paraId="7B5C5253" w14:textId="77777777" w:rsidTr="005201F5">
        <w:tc>
          <w:tcPr>
            <w:tcW w:w="3029" w:type="dxa"/>
          </w:tcPr>
          <w:p w14:paraId="273FEC0E" w14:textId="77777777" w:rsidR="005201F5" w:rsidRPr="00941F2B" w:rsidRDefault="005201F5" w:rsidP="00F63E82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 w:rsidRPr="00941F2B">
              <w:rPr>
                <w:sz w:val="24"/>
                <w:szCs w:val="24"/>
              </w:rPr>
              <w:t>Contracts and other agreements of financial nature</w:t>
            </w:r>
          </w:p>
        </w:tc>
        <w:tc>
          <w:tcPr>
            <w:tcW w:w="3969" w:type="dxa"/>
          </w:tcPr>
          <w:p w14:paraId="5A4FABED" w14:textId="606C548C" w:rsidR="005201F5" w:rsidRPr="00941F2B" w:rsidRDefault="005201F5" w:rsidP="00F63E82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</w:t>
            </w:r>
            <w:r w:rsidR="00561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14:paraId="3D8390F1" w14:textId="77777777" w:rsidR="005201F5" w:rsidRPr="00941F2B" w:rsidRDefault="005201F5" w:rsidP="00F63E82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Audit, Management</w:t>
            </w:r>
          </w:p>
        </w:tc>
      </w:tr>
      <w:tr w:rsidR="00941F2B" w14:paraId="4F36A2A9" w14:textId="77777777" w:rsidTr="005201F5">
        <w:tc>
          <w:tcPr>
            <w:tcW w:w="3029" w:type="dxa"/>
          </w:tcPr>
          <w:p w14:paraId="62BE8757" w14:textId="6C4AA1C2" w:rsidR="001068C6" w:rsidRPr="00941F2B" w:rsidRDefault="00941F2B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Quotations &amp; tenders </w:t>
            </w:r>
          </w:p>
        </w:tc>
        <w:tc>
          <w:tcPr>
            <w:tcW w:w="3969" w:type="dxa"/>
          </w:tcPr>
          <w:p w14:paraId="425B084C" w14:textId="20AB0541" w:rsidR="001068C6" w:rsidRPr="00941F2B" w:rsidRDefault="00941F2B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years/ indefinite</w:t>
            </w:r>
          </w:p>
        </w:tc>
        <w:tc>
          <w:tcPr>
            <w:tcW w:w="2768" w:type="dxa"/>
          </w:tcPr>
          <w:p w14:paraId="395A1078" w14:textId="40CEE1A3" w:rsidR="00941F2B" w:rsidRPr="00941F2B" w:rsidRDefault="005201F5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Statute</w:t>
            </w:r>
            <w:r w:rsidR="00941F2B">
              <w:rPr>
                <w:sz w:val="24"/>
                <w:szCs w:val="24"/>
              </w:rPr>
              <w:t xml:space="preserve"> of Limitations</w:t>
            </w:r>
          </w:p>
        </w:tc>
      </w:tr>
      <w:tr w:rsidR="00941F2B" w14:paraId="20A1E6AB" w14:textId="77777777" w:rsidTr="005201F5">
        <w:tc>
          <w:tcPr>
            <w:tcW w:w="3029" w:type="dxa"/>
          </w:tcPr>
          <w:p w14:paraId="7E0B09C7" w14:textId="21FF184E" w:rsidR="001068C6" w:rsidRPr="00941F2B" w:rsidRDefault="005201F5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</w:t>
            </w:r>
            <w:r w:rsidR="00962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correspondence</w:t>
            </w:r>
            <w:r w:rsidR="009620CD">
              <w:rPr>
                <w:sz w:val="24"/>
                <w:szCs w:val="24"/>
              </w:rPr>
              <w:t xml:space="preserve"> relating to decisions, transactions and activities </w:t>
            </w:r>
          </w:p>
        </w:tc>
        <w:tc>
          <w:tcPr>
            <w:tcW w:w="3969" w:type="dxa"/>
          </w:tcPr>
          <w:p w14:paraId="08831613" w14:textId="17741CCD" w:rsidR="001068C6" w:rsidRPr="00941F2B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</w:t>
            </w:r>
          </w:p>
        </w:tc>
        <w:tc>
          <w:tcPr>
            <w:tcW w:w="2768" w:type="dxa"/>
          </w:tcPr>
          <w:p w14:paraId="27F29744" w14:textId="4986947F" w:rsidR="001068C6" w:rsidRPr="00941F2B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100BA9" w14:paraId="2C92CB6F" w14:textId="77777777" w:rsidTr="005201F5">
        <w:tc>
          <w:tcPr>
            <w:tcW w:w="3029" w:type="dxa"/>
          </w:tcPr>
          <w:p w14:paraId="66A3D18E" w14:textId="01487A64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information including invitations, </w:t>
            </w:r>
            <w:r w:rsidR="005201F5">
              <w:rPr>
                <w:sz w:val="24"/>
                <w:szCs w:val="24"/>
              </w:rPr>
              <w:t>promotional</w:t>
            </w:r>
            <w:r>
              <w:rPr>
                <w:sz w:val="24"/>
                <w:szCs w:val="24"/>
              </w:rPr>
              <w:t xml:space="preserve"> material</w:t>
            </w:r>
          </w:p>
        </w:tc>
        <w:tc>
          <w:tcPr>
            <w:tcW w:w="3969" w:type="dxa"/>
          </w:tcPr>
          <w:p w14:paraId="35AB2042" w14:textId="470BF395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minimum</w:t>
            </w:r>
          </w:p>
        </w:tc>
        <w:tc>
          <w:tcPr>
            <w:tcW w:w="2768" w:type="dxa"/>
          </w:tcPr>
          <w:p w14:paraId="01015E7E" w14:textId="4D93526D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100BA9" w14:paraId="0DB6EE06" w14:textId="77777777" w:rsidTr="005201F5">
        <w:tc>
          <w:tcPr>
            <w:tcW w:w="3029" w:type="dxa"/>
          </w:tcPr>
          <w:p w14:paraId="4C6423DE" w14:textId="1B1F82A6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Routine </w:t>
            </w:r>
            <w:r w:rsidR="005201F5">
              <w:rPr>
                <w:sz w:val="24"/>
                <w:szCs w:val="24"/>
              </w:rPr>
              <w:t>Correspondence</w:t>
            </w:r>
            <w:r>
              <w:rPr>
                <w:sz w:val="24"/>
                <w:szCs w:val="24"/>
              </w:rPr>
              <w:t xml:space="preserve"> and emails</w:t>
            </w:r>
          </w:p>
        </w:tc>
        <w:tc>
          <w:tcPr>
            <w:tcW w:w="3969" w:type="dxa"/>
          </w:tcPr>
          <w:p w14:paraId="38C0DA49" w14:textId="7655F386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months</w:t>
            </w:r>
          </w:p>
        </w:tc>
        <w:tc>
          <w:tcPr>
            <w:tcW w:w="2768" w:type="dxa"/>
          </w:tcPr>
          <w:p w14:paraId="5982E5CE" w14:textId="20CCBD48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100BA9" w14:paraId="67615307" w14:textId="77777777" w:rsidTr="005201F5">
        <w:tc>
          <w:tcPr>
            <w:tcW w:w="3029" w:type="dxa"/>
          </w:tcPr>
          <w:p w14:paraId="2F3E7B57" w14:textId="6393ABB0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</w:t>
            </w:r>
          </w:p>
        </w:tc>
        <w:tc>
          <w:tcPr>
            <w:tcW w:w="3969" w:type="dxa"/>
          </w:tcPr>
          <w:p w14:paraId="0B0E7ED1" w14:textId="4E41631A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</w:t>
            </w:r>
          </w:p>
        </w:tc>
        <w:tc>
          <w:tcPr>
            <w:tcW w:w="2768" w:type="dxa"/>
          </w:tcPr>
          <w:p w14:paraId="4623D2F8" w14:textId="19DE51DF" w:rsidR="00100BA9" w:rsidRDefault="005201F5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100BA9" w14:paraId="72078179" w14:textId="77777777" w:rsidTr="005201F5">
        <w:tc>
          <w:tcPr>
            <w:tcW w:w="3029" w:type="dxa"/>
          </w:tcPr>
          <w:p w14:paraId="297D7D8B" w14:textId="725D3B65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Scale of fees and charges </w:t>
            </w:r>
          </w:p>
        </w:tc>
        <w:tc>
          <w:tcPr>
            <w:tcW w:w="3969" w:type="dxa"/>
          </w:tcPr>
          <w:p w14:paraId="4E4615E9" w14:textId="0313C8C6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</w:t>
            </w:r>
          </w:p>
        </w:tc>
        <w:tc>
          <w:tcPr>
            <w:tcW w:w="2768" w:type="dxa"/>
          </w:tcPr>
          <w:p w14:paraId="71C3725E" w14:textId="357F3A93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100BA9" w14:paraId="0AA241C9" w14:textId="77777777" w:rsidTr="005201F5">
        <w:tc>
          <w:tcPr>
            <w:tcW w:w="3029" w:type="dxa"/>
          </w:tcPr>
          <w:p w14:paraId="0D394CEA" w14:textId="464A0482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Accounts</w:t>
            </w:r>
          </w:p>
        </w:tc>
        <w:tc>
          <w:tcPr>
            <w:tcW w:w="3969" w:type="dxa"/>
          </w:tcPr>
          <w:p w14:paraId="6A4864E7" w14:textId="1FEC59CC" w:rsidR="00100BA9" w:rsidRDefault="005201F5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</w:t>
            </w:r>
          </w:p>
        </w:tc>
        <w:tc>
          <w:tcPr>
            <w:tcW w:w="2768" w:type="dxa"/>
          </w:tcPr>
          <w:p w14:paraId="7653DF16" w14:textId="1C281274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</w:t>
            </w:r>
          </w:p>
        </w:tc>
      </w:tr>
      <w:tr w:rsidR="00100BA9" w14:paraId="3AC69496" w14:textId="77777777" w:rsidTr="005201F5">
        <w:tc>
          <w:tcPr>
            <w:tcW w:w="3029" w:type="dxa"/>
          </w:tcPr>
          <w:p w14:paraId="3D36E68A" w14:textId="070F5FD5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Returns</w:t>
            </w:r>
          </w:p>
        </w:tc>
        <w:tc>
          <w:tcPr>
            <w:tcW w:w="3969" w:type="dxa"/>
          </w:tcPr>
          <w:p w14:paraId="7E370F13" w14:textId="5DD5C1D7" w:rsidR="00100BA9" w:rsidRDefault="005201F5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</w:t>
            </w:r>
          </w:p>
        </w:tc>
        <w:tc>
          <w:tcPr>
            <w:tcW w:w="2768" w:type="dxa"/>
          </w:tcPr>
          <w:p w14:paraId="214A4F07" w14:textId="23CE0BC0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</w:t>
            </w:r>
          </w:p>
        </w:tc>
      </w:tr>
      <w:tr w:rsidR="00100BA9" w14:paraId="3455AFBC" w14:textId="77777777" w:rsidTr="005201F5">
        <w:tc>
          <w:tcPr>
            <w:tcW w:w="3029" w:type="dxa"/>
          </w:tcPr>
          <w:p w14:paraId="6517B601" w14:textId="46F6848C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Receipt and payment accounts </w:t>
            </w:r>
          </w:p>
        </w:tc>
        <w:tc>
          <w:tcPr>
            <w:tcW w:w="3969" w:type="dxa"/>
          </w:tcPr>
          <w:p w14:paraId="59AE4071" w14:textId="29110CF0" w:rsidR="00100BA9" w:rsidRDefault="005201F5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</w:t>
            </w:r>
          </w:p>
        </w:tc>
        <w:tc>
          <w:tcPr>
            <w:tcW w:w="2768" w:type="dxa"/>
          </w:tcPr>
          <w:p w14:paraId="0CEB2777" w14:textId="1B61D05A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</w:t>
            </w:r>
          </w:p>
        </w:tc>
      </w:tr>
      <w:tr w:rsidR="00100BA9" w14:paraId="1B459CBD" w14:textId="77777777" w:rsidTr="005201F5">
        <w:tc>
          <w:tcPr>
            <w:tcW w:w="3029" w:type="dxa"/>
          </w:tcPr>
          <w:p w14:paraId="693AFDF5" w14:textId="24906CD3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Receipt books of all kinds </w:t>
            </w:r>
          </w:p>
        </w:tc>
        <w:tc>
          <w:tcPr>
            <w:tcW w:w="3969" w:type="dxa"/>
          </w:tcPr>
          <w:p w14:paraId="172D9C9D" w14:textId="51656334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</w:t>
            </w:r>
          </w:p>
        </w:tc>
        <w:tc>
          <w:tcPr>
            <w:tcW w:w="2768" w:type="dxa"/>
          </w:tcPr>
          <w:p w14:paraId="4BDDE922" w14:textId="1A6E4185" w:rsidR="00100BA9" w:rsidRDefault="00100BA9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</w:tr>
      <w:tr w:rsidR="00100BA9" w14:paraId="67FA4988" w14:textId="77777777" w:rsidTr="005201F5">
        <w:tc>
          <w:tcPr>
            <w:tcW w:w="3029" w:type="dxa"/>
          </w:tcPr>
          <w:p w14:paraId="3F6D41FC" w14:textId="624F9CB7" w:rsidR="00100BA9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Statements, including deposit/ savings accounts</w:t>
            </w:r>
          </w:p>
        </w:tc>
        <w:tc>
          <w:tcPr>
            <w:tcW w:w="3969" w:type="dxa"/>
          </w:tcPr>
          <w:p w14:paraId="5D894566" w14:textId="75EAD689" w:rsidR="00100BA9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completed audit year</w:t>
            </w:r>
          </w:p>
        </w:tc>
        <w:tc>
          <w:tcPr>
            <w:tcW w:w="2768" w:type="dxa"/>
          </w:tcPr>
          <w:p w14:paraId="7638469F" w14:textId="35D39BF0" w:rsidR="00100BA9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</w:tc>
      </w:tr>
      <w:tr w:rsidR="00263166" w14:paraId="1BF54B08" w14:textId="77777777" w:rsidTr="005201F5">
        <w:tc>
          <w:tcPr>
            <w:tcW w:w="3029" w:type="dxa"/>
          </w:tcPr>
          <w:p w14:paraId="6A7E217C" w14:textId="44F9F2A9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paying in book stubs</w:t>
            </w:r>
          </w:p>
        </w:tc>
        <w:tc>
          <w:tcPr>
            <w:tcW w:w="3969" w:type="dxa"/>
          </w:tcPr>
          <w:p w14:paraId="03D78E35" w14:textId="3E77083E" w:rsidR="00263166" w:rsidRDefault="005201F5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</w:t>
            </w:r>
            <w:r w:rsidR="00263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completed</w:t>
            </w:r>
            <w:r w:rsidR="00263166">
              <w:rPr>
                <w:sz w:val="24"/>
                <w:szCs w:val="24"/>
              </w:rPr>
              <w:t xml:space="preserve"> audit year</w:t>
            </w:r>
          </w:p>
        </w:tc>
        <w:tc>
          <w:tcPr>
            <w:tcW w:w="2768" w:type="dxa"/>
          </w:tcPr>
          <w:p w14:paraId="7F7739E7" w14:textId="6871DB40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</w:tc>
      </w:tr>
      <w:tr w:rsidR="00263166" w14:paraId="2FEBAC0D" w14:textId="77777777" w:rsidTr="005201F5">
        <w:tc>
          <w:tcPr>
            <w:tcW w:w="3029" w:type="dxa"/>
          </w:tcPr>
          <w:p w14:paraId="7DA1E7EF" w14:textId="22451216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 Invoices</w:t>
            </w:r>
          </w:p>
        </w:tc>
        <w:tc>
          <w:tcPr>
            <w:tcW w:w="3969" w:type="dxa"/>
          </w:tcPr>
          <w:p w14:paraId="474BC714" w14:textId="3123BDC5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</w:t>
            </w:r>
          </w:p>
        </w:tc>
        <w:tc>
          <w:tcPr>
            <w:tcW w:w="2768" w:type="dxa"/>
          </w:tcPr>
          <w:p w14:paraId="41212740" w14:textId="7B203B5D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</w:tr>
      <w:tr w:rsidR="00263166" w14:paraId="4FE84A8F" w14:textId="77777777" w:rsidTr="005201F5">
        <w:tc>
          <w:tcPr>
            <w:tcW w:w="3029" w:type="dxa"/>
          </w:tcPr>
          <w:p w14:paraId="3AE0185C" w14:textId="1EC0C603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records</w:t>
            </w:r>
          </w:p>
        </w:tc>
        <w:tc>
          <w:tcPr>
            <w:tcW w:w="3969" w:type="dxa"/>
          </w:tcPr>
          <w:p w14:paraId="421355AE" w14:textId="4AB51D22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</w:t>
            </w:r>
          </w:p>
        </w:tc>
        <w:tc>
          <w:tcPr>
            <w:tcW w:w="2768" w:type="dxa"/>
          </w:tcPr>
          <w:p w14:paraId="7ACAC4AE" w14:textId="246CCE21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</w:tr>
      <w:tr w:rsidR="00263166" w14:paraId="393BA3A7" w14:textId="77777777" w:rsidTr="005201F5">
        <w:tc>
          <w:tcPr>
            <w:tcW w:w="3029" w:type="dxa"/>
          </w:tcPr>
          <w:p w14:paraId="45B4EFD0" w14:textId="0817044D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bookmarkStart w:id="2" w:name="_Hlk79575287"/>
            <w:r>
              <w:rPr>
                <w:sz w:val="24"/>
                <w:szCs w:val="24"/>
              </w:rPr>
              <w:t>Petty cash postage books</w:t>
            </w:r>
          </w:p>
        </w:tc>
        <w:tc>
          <w:tcPr>
            <w:tcW w:w="3969" w:type="dxa"/>
          </w:tcPr>
          <w:p w14:paraId="4960D927" w14:textId="6E545ECB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</w:t>
            </w:r>
          </w:p>
        </w:tc>
        <w:tc>
          <w:tcPr>
            <w:tcW w:w="2768" w:type="dxa"/>
          </w:tcPr>
          <w:p w14:paraId="237777CC" w14:textId="03E85EED" w:rsidR="00263166" w:rsidRDefault="00263166" w:rsidP="009620CD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Tax, VAT, </w:t>
            </w:r>
            <w:r w:rsidR="005201F5">
              <w:rPr>
                <w:sz w:val="24"/>
                <w:szCs w:val="24"/>
              </w:rPr>
              <w:t>Statute</w:t>
            </w:r>
            <w:r>
              <w:rPr>
                <w:sz w:val="24"/>
                <w:szCs w:val="24"/>
              </w:rPr>
              <w:t xml:space="preserve"> of </w:t>
            </w:r>
            <w:r w:rsidR="005201F5">
              <w:rPr>
                <w:sz w:val="24"/>
                <w:szCs w:val="24"/>
              </w:rPr>
              <w:t>Limitations</w:t>
            </w:r>
          </w:p>
        </w:tc>
      </w:tr>
      <w:bookmarkEnd w:id="0"/>
      <w:bookmarkEnd w:id="2"/>
      <w:tr w:rsidR="00561F8C" w14:paraId="6324A75D" w14:textId="77777777" w:rsidTr="005201F5">
        <w:tc>
          <w:tcPr>
            <w:tcW w:w="3029" w:type="dxa"/>
          </w:tcPr>
          <w:p w14:paraId="6CBF0717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b/>
                <w:bCs/>
              </w:rPr>
            </w:pPr>
            <w:r w:rsidRPr="00F41D17">
              <w:rPr>
                <w:b/>
                <w:bCs/>
              </w:rPr>
              <w:lastRenderedPageBreak/>
              <w:t>Document</w:t>
            </w:r>
          </w:p>
          <w:p w14:paraId="7715C84A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9B1C455" w14:textId="777FDF35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 w:rsidRPr="00F41D17">
              <w:rPr>
                <w:b/>
                <w:bCs/>
              </w:rPr>
              <w:t>Minimum retention period</w:t>
            </w:r>
          </w:p>
        </w:tc>
        <w:tc>
          <w:tcPr>
            <w:tcW w:w="2768" w:type="dxa"/>
          </w:tcPr>
          <w:p w14:paraId="53C5B7AF" w14:textId="7FA2FD25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 w:rsidRPr="00F41D17">
              <w:rPr>
                <w:b/>
                <w:bCs/>
              </w:rPr>
              <w:t>Reason</w:t>
            </w:r>
          </w:p>
        </w:tc>
      </w:tr>
      <w:tr w:rsidR="00561F8C" w14:paraId="196B4E42" w14:textId="77777777" w:rsidTr="005201F5">
        <w:tc>
          <w:tcPr>
            <w:tcW w:w="3029" w:type="dxa"/>
          </w:tcPr>
          <w:p w14:paraId="4779155E" w14:textId="19EC0B70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Records</w:t>
            </w:r>
          </w:p>
        </w:tc>
        <w:tc>
          <w:tcPr>
            <w:tcW w:w="3969" w:type="dxa"/>
          </w:tcPr>
          <w:p w14:paraId="0B3593EA" w14:textId="2D3B3A36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Years</w:t>
            </w:r>
          </w:p>
        </w:tc>
        <w:tc>
          <w:tcPr>
            <w:tcW w:w="2768" w:type="dxa"/>
          </w:tcPr>
          <w:p w14:paraId="0793E8C2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Superannuation</w:t>
            </w:r>
          </w:p>
          <w:p w14:paraId="2178268A" w14:textId="540965D1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</w:p>
        </w:tc>
      </w:tr>
      <w:tr w:rsidR="00561F8C" w14:paraId="397A5EA0" w14:textId="77777777" w:rsidTr="005201F5">
        <w:tc>
          <w:tcPr>
            <w:tcW w:w="3029" w:type="dxa"/>
          </w:tcPr>
          <w:p w14:paraId="797606F9" w14:textId="21F7D174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Tax &amp; NI records</w:t>
            </w:r>
          </w:p>
        </w:tc>
        <w:tc>
          <w:tcPr>
            <w:tcW w:w="3969" w:type="dxa"/>
          </w:tcPr>
          <w:p w14:paraId="3FF67D29" w14:textId="073BFAD3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</w:t>
            </w:r>
          </w:p>
        </w:tc>
        <w:tc>
          <w:tcPr>
            <w:tcW w:w="2768" w:type="dxa"/>
          </w:tcPr>
          <w:p w14:paraId="6E2C6DBA" w14:textId="17A81068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</w:tc>
      </w:tr>
      <w:tr w:rsidR="00561F8C" w14:paraId="4C7CF61D" w14:textId="77777777" w:rsidTr="005201F5">
        <w:tc>
          <w:tcPr>
            <w:tcW w:w="3029" w:type="dxa"/>
          </w:tcPr>
          <w:p w14:paraId="7B933769" w14:textId="0E8F3566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Policies</w:t>
            </w:r>
          </w:p>
        </w:tc>
        <w:tc>
          <w:tcPr>
            <w:tcW w:w="3969" w:type="dxa"/>
          </w:tcPr>
          <w:p w14:paraId="59C1A1C4" w14:textId="18CADB3E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Valid</w:t>
            </w:r>
          </w:p>
        </w:tc>
        <w:tc>
          <w:tcPr>
            <w:tcW w:w="2768" w:type="dxa"/>
          </w:tcPr>
          <w:p w14:paraId="6927C545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  <w:p w14:paraId="7467C852" w14:textId="5055082F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</w:p>
        </w:tc>
      </w:tr>
      <w:tr w:rsidR="00561F8C" w14:paraId="599FB681" w14:textId="77777777" w:rsidTr="005201F5">
        <w:tc>
          <w:tcPr>
            <w:tcW w:w="3029" w:type="dxa"/>
          </w:tcPr>
          <w:p w14:paraId="70FA87FB" w14:textId="3CAF7061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 for insurance</w:t>
            </w:r>
          </w:p>
        </w:tc>
        <w:tc>
          <w:tcPr>
            <w:tcW w:w="3969" w:type="dxa"/>
          </w:tcPr>
          <w:p w14:paraId="563F9308" w14:textId="709FF778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valid</w:t>
            </w:r>
          </w:p>
        </w:tc>
        <w:tc>
          <w:tcPr>
            <w:tcW w:w="2768" w:type="dxa"/>
          </w:tcPr>
          <w:p w14:paraId="1B32FE18" w14:textId="71A99693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employer’s liability Regs 1998 St. 2753</w:t>
            </w:r>
          </w:p>
          <w:p w14:paraId="5FF874A5" w14:textId="7D3F5EA4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561F8C" w14:paraId="3AFC83B5" w14:textId="77777777" w:rsidTr="005201F5">
        <w:tc>
          <w:tcPr>
            <w:tcW w:w="3029" w:type="dxa"/>
          </w:tcPr>
          <w:p w14:paraId="682CA329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Register</w:t>
            </w:r>
          </w:p>
          <w:p w14:paraId="5F296786" w14:textId="554C38D2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7578C3" w14:textId="796663A1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</w:t>
            </w:r>
          </w:p>
        </w:tc>
        <w:tc>
          <w:tcPr>
            <w:tcW w:w="2768" w:type="dxa"/>
          </w:tcPr>
          <w:p w14:paraId="7FA6BF0E" w14:textId="4F303421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Audit, Legal</w:t>
            </w:r>
          </w:p>
        </w:tc>
      </w:tr>
      <w:tr w:rsidR="00561F8C" w14:paraId="7026D51A" w14:textId="77777777" w:rsidTr="005201F5">
        <w:tc>
          <w:tcPr>
            <w:tcW w:w="3029" w:type="dxa"/>
          </w:tcPr>
          <w:p w14:paraId="643CF9F0" w14:textId="1263B91B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deeds, leases, agreements, contracts</w:t>
            </w:r>
          </w:p>
        </w:tc>
        <w:tc>
          <w:tcPr>
            <w:tcW w:w="3969" w:type="dxa"/>
          </w:tcPr>
          <w:p w14:paraId="012C4D98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</w:t>
            </w:r>
          </w:p>
          <w:p w14:paraId="124D48F4" w14:textId="16587633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scanned for easy access</w:t>
            </w:r>
          </w:p>
        </w:tc>
        <w:tc>
          <w:tcPr>
            <w:tcW w:w="2768" w:type="dxa"/>
          </w:tcPr>
          <w:p w14:paraId="50246CB2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Audit, Legal</w:t>
            </w:r>
          </w:p>
          <w:p w14:paraId="3B4739F1" w14:textId="7FD381C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Archives</w:t>
            </w:r>
          </w:p>
          <w:p w14:paraId="39F4672C" w14:textId="206AC654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</w:p>
        </w:tc>
      </w:tr>
      <w:tr w:rsidR="00561F8C" w14:paraId="4323816F" w14:textId="77777777" w:rsidTr="005201F5">
        <w:tc>
          <w:tcPr>
            <w:tcW w:w="3029" w:type="dxa"/>
          </w:tcPr>
          <w:p w14:paraId="197EEB05" w14:textId="77777777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OCLC</w:t>
            </w:r>
          </w:p>
          <w:p w14:paraId="62573ED8" w14:textId="5D91115E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Lettings, diaries, records, </w:t>
            </w:r>
          </w:p>
        </w:tc>
        <w:tc>
          <w:tcPr>
            <w:tcW w:w="3969" w:type="dxa"/>
          </w:tcPr>
          <w:p w14:paraId="4812BD42" w14:textId="7FF8D8A9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</w:t>
            </w:r>
          </w:p>
        </w:tc>
        <w:tc>
          <w:tcPr>
            <w:tcW w:w="2768" w:type="dxa"/>
          </w:tcPr>
          <w:p w14:paraId="11F3702F" w14:textId="7DC4F754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Archives</w:t>
            </w:r>
          </w:p>
        </w:tc>
      </w:tr>
      <w:tr w:rsidR="00561F8C" w14:paraId="79686CAD" w14:textId="77777777" w:rsidTr="005201F5">
        <w:tc>
          <w:tcPr>
            <w:tcW w:w="3029" w:type="dxa"/>
          </w:tcPr>
          <w:p w14:paraId="0D5D5C71" w14:textId="77314368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 Meetings (FPC/Committee) using Zoom Software </w:t>
            </w:r>
          </w:p>
        </w:tc>
        <w:tc>
          <w:tcPr>
            <w:tcW w:w="3969" w:type="dxa"/>
          </w:tcPr>
          <w:p w14:paraId="51B00B3B" w14:textId="5419415C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recorded – 7 years</w:t>
            </w:r>
          </w:p>
        </w:tc>
        <w:tc>
          <w:tcPr>
            <w:tcW w:w="2768" w:type="dxa"/>
          </w:tcPr>
          <w:p w14:paraId="69ABA867" w14:textId="50E00FFB" w:rsidR="00561F8C" w:rsidRDefault="00561F8C" w:rsidP="00561F8C">
            <w:pPr>
              <w:pStyle w:val="BodyText"/>
              <w:spacing w:before="100" w:beforeAutospacing="1" w:after="100" w:afterAutospacing="1"/>
              <w:ind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Archives</w:t>
            </w:r>
          </w:p>
        </w:tc>
      </w:tr>
    </w:tbl>
    <w:p w14:paraId="56D851B8" w14:textId="43C3DBC8" w:rsidR="001068C6" w:rsidRDefault="001068C6" w:rsidP="004F3760">
      <w:pPr>
        <w:pStyle w:val="BodyText"/>
        <w:spacing w:before="100" w:beforeAutospacing="1" w:after="100" w:afterAutospacing="1"/>
        <w:ind w:left="794" w:right="794"/>
        <w:jc w:val="both"/>
        <w:rPr>
          <w:sz w:val="28"/>
          <w:szCs w:val="28"/>
        </w:rPr>
      </w:pPr>
    </w:p>
    <w:p w14:paraId="4E6E687B" w14:textId="0881177E" w:rsidR="001F2736" w:rsidRPr="001F2736" w:rsidRDefault="008A3D42" w:rsidP="00561F8C">
      <w:pPr>
        <w:pStyle w:val="BodyText"/>
        <w:spacing w:before="100" w:beforeAutospacing="1" w:after="100" w:afterAutospacing="1"/>
        <w:ind w:left="794" w:right="794"/>
        <w:jc w:val="both"/>
      </w:pPr>
      <w:r w:rsidRPr="004F3760">
        <w:rPr>
          <w:sz w:val="28"/>
          <w:szCs w:val="28"/>
        </w:rPr>
        <w:t xml:space="preserve">Policy Review Once adopted by ODAPC , this Policy is to be reviewed within 5 years or upon revision. </w:t>
      </w: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816A77" w:rsidRPr="001F2736" w14:paraId="6FBE8F89" w14:textId="77777777" w:rsidTr="00816A77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6A7106" w14:textId="77777777" w:rsidR="00816A77" w:rsidRPr="001F2736" w:rsidRDefault="00816A77" w:rsidP="00816A77">
            <w:pPr>
              <w:rPr>
                <w:sz w:val="28"/>
                <w:szCs w:val="28"/>
              </w:rPr>
            </w:pPr>
            <w:r w:rsidRPr="001F2736">
              <w:rPr>
                <w:sz w:val="28"/>
                <w:szCs w:val="28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7EAD8D" w14:textId="77777777" w:rsidR="00816A77" w:rsidRPr="001F2736" w:rsidRDefault="00816A77" w:rsidP="00816A77">
            <w:pPr>
              <w:rPr>
                <w:sz w:val="28"/>
                <w:szCs w:val="28"/>
              </w:rPr>
            </w:pPr>
            <w:r w:rsidRPr="001F2736">
              <w:rPr>
                <w:sz w:val="28"/>
                <w:szCs w:val="28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D4C0CF" w14:textId="77777777" w:rsidR="00816A77" w:rsidRPr="001F2736" w:rsidRDefault="00816A77" w:rsidP="00816A77">
            <w:pPr>
              <w:rPr>
                <w:sz w:val="28"/>
                <w:szCs w:val="28"/>
              </w:rPr>
            </w:pPr>
            <w:r w:rsidRPr="001F2736">
              <w:rPr>
                <w:sz w:val="28"/>
                <w:szCs w:val="28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57CBA" w14:textId="77777777" w:rsidR="00816A77" w:rsidRPr="001F2736" w:rsidRDefault="00816A77" w:rsidP="00816A77">
            <w:pPr>
              <w:rPr>
                <w:sz w:val="28"/>
                <w:szCs w:val="28"/>
              </w:rPr>
            </w:pPr>
            <w:r w:rsidRPr="001F2736">
              <w:rPr>
                <w:sz w:val="28"/>
                <w:szCs w:val="28"/>
              </w:rPr>
              <w:t>Date</w:t>
            </w:r>
          </w:p>
        </w:tc>
      </w:tr>
      <w:tr w:rsidR="00816A77" w:rsidRPr="001F2736" w14:paraId="5AACA3B9" w14:textId="77777777" w:rsidTr="00816A77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955BCC" w14:textId="77777777" w:rsidR="00816A77" w:rsidRPr="001F2736" w:rsidRDefault="00816A77" w:rsidP="00816A77">
            <w:pPr>
              <w:rPr>
                <w:sz w:val="28"/>
                <w:szCs w:val="28"/>
              </w:rPr>
            </w:pPr>
            <w:r w:rsidRPr="001F2736">
              <w:rPr>
                <w:sz w:val="28"/>
                <w:szCs w:val="28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EFAA02" w14:textId="77777777" w:rsidR="00816A77" w:rsidRPr="001F2736" w:rsidRDefault="00816A77" w:rsidP="00816A77">
            <w:pPr>
              <w:rPr>
                <w:sz w:val="28"/>
                <w:szCs w:val="28"/>
              </w:rPr>
            </w:pPr>
            <w:r w:rsidRPr="001F2736">
              <w:rPr>
                <w:sz w:val="28"/>
                <w:szCs w:val="28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59BCCE" w14:textId="764A9361" w:rsidR="00816A77" w:rsidRPr="001F2736" w:rsidRDefault="00816A77" w:rsidP="0081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LW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AD1FE0" w14:textId="77777777" w:rsidR="00816A77" w:rsidRPr="001F2736" w:rsidRDefault="00816A77" w:rsidP="0081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</w:t>
            </w:r>
          </w:p>
        </w:tc>
      </w:tr>
      <w:tr w:rsidR="00816A77" w:rsidRPr="001F2736" w14:paraId="679F0B05" w14:textId="77777777" w:rsidTr="00816A77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11D7C2" w14:textId="77777777" w:rsidR="00816A77" w:rsidRPr="001F2736" w:rsidRDefault="00816A77" w:rsidP="00816A7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8F085D" w14:textId="77777777" w:rsidR="00816A77" w:rsidRPr="001F2736" w:rsidRDefault="00816A77" w:rsidP="00816A77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40BE49" w14:textId="6CF56C07" w:rsidR="00816A77" w:rsidRPr="001F2736" w:rsidRDefault="00816A77" w:rsidP="0081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D0E2F2" w14:textId="524A57C8" w:rsidR="00816A77" w:rsidRPr="001F2736" w:rsidRDefault="00816A77" w:rsidP="0081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8/9/21</w:t>
            </w:r>
          </w:p>
        </w:tc>
      </w:tr>
      <w:tr w:rsidR="00816A77" w:rsidRPr="001F2736" w14:paraId="27D49101" w14:textId="77777777" w:rsidTr="00816A77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6B2768" w14:textId="77777777" w:rsidR="00816A77" w:rsidRPr="001F2736" w:rsidRDefault="00816A77" w:rsidP="00816A7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D397C6" w14:textId="77777777" w:rsidR="00816A77" w:rsidRPr="001F2736" w:rsidRDefault="00816A77" w:rsidP="00816A77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725C59" w14:textId="55826441" w:rsidR="00816A77" w:rsidRPr="001F2736" w:rsidRDefault="00816A77" w:rsidP="0081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4D9EDE" w14:textId="47CFA678" w:rsidR="00816A77" w:rsidRDefault="00816A77" w:rsidP="0081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3/22</w:t>
            </w:r>
          </w:p>
        </w:tc>
      </w:tr>
      <w:tr w:rsidR="00816A77" w:rsidRPr="001F2736" w14:paraId="1B5AF163" w14:textId="77777777" w:rsidTr="00816A77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120E1A" w14:textId="77777777" w:rsidR="00816A77" w:rsidRPr="001F2736" w:rsidRDefault="00816A77" w:rsidP="00816A7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B3E252" w14:textId="77777777" w:rsidR="00816A77" w:rsidRPr="001F2736" w:rsidRDefault="00816A77" w:rsidP="00816A77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FE4CB0" w14:textId="77777777" w:rsidR="00816A77" w:rsidRPr="001F2736" w:rsidRDefault="00816A77" w:rsidP="00816A77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D0E12A" w14:textId="77777777" w:rsidR="00816A77" w:rsidRDefault="00816A77" w:rsidP="00816A77">
            <w:pPr>
              <w:rPr>
                <w:sz w:val="28"/>
                <w:szCs w:val="28"/>
              </w:rPr>
            </w:pPr>
          </w:p>
        </w:tc>
      </w:tr>
    </w:tbl>
    <w:p w14:paraId="4ACAE929" w14:textId="655FA4EE" w:rsidR="001F2736" w:rsidRPr="001F2736" w:rsidRDefault="001F2736" w:rsidP="001F2736"/>
    <w:p w14:paraId="214732E7" w14:textId="437885BC" w:rsidR="001F2736" w:rsidRPr="001F2736" w:rsidRDefault="001F2736" w:rsidP="001F2736"/>
    <w:p w14:paraId="01AF5185" w14:textId="3DD71516" w:rsidR="001F2736" w:rsidRPr="001F2736" w:rsidRDefault="001F2736" w:rsidP="001F2736"/>
    <w:p w14:paraId="266C02E1" w14:textId="0C61233B" w:rsidR="001F2736" w:rsidRPr="001F2736" w:rsidRDefault="001F2736" w:rsidP="001F2736">
      <w:r>
        <w:t xml:space="preserve">   </w:t>
      </w:r>
    </w:p>
    <w:p w14:paraId="46CD8D20" w14:textId="56ABD58C" w:rsidR="001F2736" w:rsidRDefault="001F2736" w:rsidP="001F2736">
      <w:pPr>
        <w:rPr>
          <w:sz w:val="28"/>
          <w:szCs w:val="28"/>
        </w:rPr>
      </w:pPr>
    </w:p>
    <w:p w14:paraId="192C3C4B" w14:textId="5111DA51" w:rsidR="001F2736" w:rsidRPr="001F2736" w:rsidRDefault="001F2736" w:rsidP="001F2736"/>
    <w:p w14:paraId="34F143CC" w14:textId="26C2B1F1" w:rsidR="001F2736" w:rsidRPr="001F2736" w:rsidRDefault="001F2736" w:rsidP="001F2736">
      <w:pPr>
        <w:tabs>
          <w:tab w:val="left" w:pos="3075"/>
        </w:tabs>
      </w:pPr>
      <w:r>
        <w:tab/>
      </w:r>
    </w:p>
    <w:sectPr w:rsidR="001F2736" w:rsidRPr="001F2736" w:rsidSect="005D6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AA42" w14:textId="77777777" w:rsidR="00E12289" w:rsidRDefault="00E12289" w:rsidP="005D6EB2">
      <w:r>
        <w:separator/>
      </w:r>
    </w:p>
  </w:endnote>
  <w:endnote w:type="continuationSeparator" w:id="0">
    <w:p w14:paraId="2A0B9A67" w14:textId="77777777" w:rsidR="00E12289" w:rsidRDefault="00E12289" w:rsidP="005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75B9" w14:textId="77777777" w:rsidR="00816A77" w:rsidRDefault="00816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7E6E" w14:textId="77777777" w:rsidR="00816A77" w:rsidRDefault="00816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ED4B" w14:textId="77777777" w:rsidR="00816A77" w:rsidRDefault="0081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4574" w14:textId="77777777" w:rsidR="00E12289" w:rsidRDefault="00E12289" w:rsidP="005D6EB2">
      <w:r>
        <w:separator/>
      </w:r>
    </w:p>
  </w:footnote>
  <w:footnote w:type="continuationSeparator" w:id="0">
    <w:p w14:paraId="0B9ACEA0" w14:textId="77777777" w:rsidR="00E12289" w:rsidRDefault="00E12289" w:rsidP="005D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C187" w14:textId="60723170" w:rsidR="00816A77" w:rsidRDefault="00000000">
    <w:pPr>
      <w:pStyle w:val="Header"/>
    </w:pPr>
    <w:r>
      <w:rPr>
        <w:noProof/>
      </w:rPr>
      <w:pict w14:anchorId="17DF8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783188" o:spid="_x0000_s1027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68B5" w14:textId="74DB6C2D" w:rsidR="005D6EB2" w:rsidRDefault="00000000" w:rsidP="003F0186">
    <w:pPr>
      <w:pStyle w:val="Header"/>
      <w:jc w:val="center"/>
    </w:pPr>
    <w:r>
      <w:rPr>
        <w:noProof/>
      </w:rPr>
      <w:pict w14:anchorId="20D1E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783189" o:spid="_x0000_s1028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3F0186">
      <w:rPr>
        <w:noProof/>
      </w:rPr>
      <w:drawing>
        <wp:inline distT="0" distB="0" distL="0" distR="0" wp14:anchorId="110D7E66" wp14:editId="67A2A99D">
          <wp:extent cx="1999615" cy="353695"/>
          <wp:effectExtent l="0" t="0" r="63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71CD" w14:textId="29DD5DEF" w:rsidR="00816A77" w:rsidRPr="00816A77" w:rsidRDefault="00000000" w:rsidP="00816A77">
    <w:pPr>
      <w:widowControl/>
      <w:tabs>
        <w:tab w:val="center" w:pos="4513"/>
        <w:tab w:val="right" w:pos="9026"/>
      </w:tabs>
      <w:autoSpaceDE/>
      <w:autoSpaceDN/>
      <w:jc w:val="center"/>
      <w:rPr>
        <w:rFonts w:eastAsia="Calibri"/>
        <w:b/>
        <w:bCs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</w:pPr>
    <w:bookmarkStart w:id="3" w:name="_Hlk127089297"/>
    <w:bookmarkStart w:id="4" w:name="_Hlk127089298"/>
    <w:bookmarkStart w:id="5" w:name="_Hlk127089299"/>
    <w:bookmarkStart w:id="6" w:name="_Hlk127089300"/>
    <w:bookmarkStart w:id="7" w:name="_Hlk127089301"/>
    <w:bookmarkStart w:id="8" w:name="_Hlk127089302"/>
    <w:bookmarkStart w:id="9" w:name="_Hlk127089303"/>
    <w:bookmarkStart w:id="10" w:name="_Hlk127089304"/>
    <w:bookmarkStart w:id="11" w:name="_Hlk127089305"/>
    <w:bookmarkStart w:id="12" w:name="_Hlk127089306"/>
    <w:bookmarkStart w:id="13" w:name="_Hlk127089702"/>
    <w:bookmarkStart w:id="14" w:name="_Hlk127089703"/>
    <w:bookmarkStart w:id="15" w:name="_Hlk127089704"/>
    <w:bookmarkStart w:id="16" w:name="_Hlk127089705"/>
    <w:bookmarkStart w:id="17" w:name="_Hlk127089706"/>
    <w:bookmarkStart w:id="18" w:name="_Hlk127089707"/>
    <w:bookmarkStart w:id="19" w:name="_Hlk127089811"/>
    <w:bookmarkStart w:id="20" w:name="_Hlk127089812"/>
    <w:bookmarkStart w:id="21" w:name="_Hlk127089813"/>
    <w:bookmarkStart w:id="22" w:name="_Hlk127089814"/>
    <w:bookmarkStart w:id="23" w:name="_Hlk127089815"/>
    <w:bookmarkStart w:id="24" w:name="_Hlk127089816"/>
    <w:bookmarkStart w:id="25" w:name="_Hlk127100086"/>
    <w:bookmarkStart w:id="26" w:name="_Hlk127100087"/>
    <w:bookmarkStart w:id="27" w:name="_Hlk127100091"/>
    <w:bookmarkStart w:id="28" w:name="_Hlk127100092"/>
    <w:bookmarkStart w:id="29" w:name="_Hlk127100095"/>
    <w:bookmarkStart w:id="30" w:name="_Hlk127100096"/>
    <w:bookmarkStart w:id="31" w:name="_Hlk127100097"/>
    <w:bookmarkStart w:id="32" w:name="_Hlk127100098"/>
    <w:bookmarkStart w:id="33" w:name="_Hlk127100099"/>
    <w:bookmarkStart w:id="34" w:name="_Hlk127100100"/>
    <w:bookmarkStart w:id="35" w:name="_Hlk127100101"/>
    <w:bookmarkStart w:id="36" w:name="_Hlk127100102"/>
    <w:bookmarkStart w:id="37" w:name="_Hlk127100103"/>
    <w:bookmarkStart w:id="38" w:name="_Hlk127100104"/>
    <w:r>
      <w:rPr>
        <w:rFonts w:eastAsia="Calibri"/>
        <w:b/>
        <w:bCs/>
        <w:noProof/>
        <w:color w:val="70AD47"/>
        <w:sz w:val="32"/>
        <w:szCs w:val="32"/>
        <w:lang w:eastAsia="en-US" w:bidi="ar-SA"/>
      </w:rPr>
      <w:pict w14:anchorId="2C695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783187" o:spid="_x0000_s1026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816A77" w:rsidRPr="00816A77">
      <w:rPr>
        <w:rFonts w:eastAsia="Calibri"/>
        <w:b/>
        <w:bCs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  <w:p w14:paraId="40D799D3" w14:textId="2F7AA3B3" w:rsidR="005D6EB2" w:rsidRDefault="005D6EB2" w:rsidP="005D6E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abstractNum w:abstractNumId="4" w15:restartNumberingAfterBreak="0">
    <w:nsid w:val="738058B1"/>
    <w:multiLevelType w:val="hybridMultilevel"/>
    <w:tmpl w:val="787A7EE8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545334502">
    <w:abstractNumId w:val="1"/>
  </w:num>
  <w:num w:numId="2" w16cid:durableId="1921404294">
    <w:abstractNumId w:val="3"/>
  </w:num>
  <w:num w:numId="3" w16cid:durableId="1826435468">
    <w:abstractNumId w:val="0"/>
  </w:num>
  <w:num w:numId="4" w16cid:durableId="1663197193">
    <w:abstractNumId w:val="2"/>
  </w:num>
  <w:num w:numId="5" w16cid:durableId="824784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083A0B"/>
    <w:rsid w:val="00100BA9"/>
    <w:rsid w:val="001068C6"/>
    <w:rsid w:val="0011258F"/>
    <w:rsid w:val="001B3AC7"/>
    <w:rsid w:val="001F2736"/>
    <w:rsid w:val="00263166"/>
    <w:rsid w:val="002D4818"/>
    <w:rsid w:val="00356134"/>
    <w:rsid w:val="00394714"/>
    <w:rsid w:val="003F0186"/>
    <w:rsid w:val="0046152F"/>
    <w:rsid w:val="004D6CB5"/>
    <w:rsid w:val="004E0635"/>
    <w:rsid w:val="004F3760"/>
    <w:rsid w:val="005201F5"/>
    <w:rsid w:val="00561F8C"/>
    <w:rsid w:val="005D6EB2"/>
    <w:rsid w:val="00677133"/>
    <w:rsid w:val="0078081B"/>
    <w:rsid w:val="00816A77"/>
    <w:rsid w:val="0084480A"/>
    <w:rsid w:val="008A3D42"/>
    <w:rsid w:val="00941F2B"/>
    <w:rsid w:val="009620CD"/>
    <w:rsid w:val="00A46F71"/>
    <w:rsid w:val="00AC4092"/>
    <w:rsid w:val="00BF2A19"/>
    <w:rsid w:val="00C123F1"/>
    <w:rsid w:val="00CC7BE4"/>
    <w:rsid w:val="00CD071D"/>
    <w:rsid w:val="00D2021E"/>
    <w:rsid w:val="00E12289"/>
    <w:rsid w:val="00EF4532"/>
    <w:rsid w:val="00F41D17"/>
    <w:rsid w:val="00F527F4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6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EB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D6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EB2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10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63166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2021-08-11T11:18:00Z</cp:lastPrinted>
  <dcterms:created xsi:type="dcterms:W3CDTF">2023-02-25T16:56:00Z</dcterms:created>
  <dcterms:modified xsi:type="dcterms:W3CDTF">2023-02-25T16:56:00Z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